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BBE9D" w14:textId="77777777" w:rsidR="00E96390" w:rsidRDefault="00E96390" w:rsidP="00E96390">
      <w:pPr>
        <w:spacing w:before="120" w:after="120"/>
        <w:jc w:val="center"/>
      </w:pPr>
    </w:p>
    <w:p w14:paraId="351C6E4B" w14:textId="77777777" w:rsidR="00E96390" w:rsidRDefault="00E96390" w:rsidP="00E96390">
      <w:pPr>
        <w:spacing w:before="120" w:after="120"/>
        <w:jc w:val="center"/>
      </w:pPr>
      <w:r>
        <w:object w:dxaOrig="1632" w:dyaOrig="1092" w14:anchorId="6509A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8" o:title=""/>
          </v:shape>
          <o:OLEObject Type="Embed" ProgID="MS_ClipArt_Gallery" ShapeID="_x0000_i1025" DrawAspect="Content" ObjectID="_1630948609" r:id="rId9"/>
        </w:object>
      </w:r>
    </w:p>
    <w:p w14:paraId="1EC0043F" w14:textId="77777777" w:rsidR="00E96390" w:rsidRDefault="00E96390" w:rsidP="00E96390">
      <w:pPr>
        <w:jc w:val="center"/>
        <w:rPr>
          <w:b/>
        </w:rPr>
      </w:pPr>
    </w:p>
    <w:p w14:paraId="476FA5ED" w14:textId="77777777" w:rsidR="00E96390" w:rsidRDefault="00E96390" w:rsidP="00E96390">
      <w:pPr>
        <w:jc w:val="center"/>
        <w:rPr>
          <w:b/>
        </w:rPr>
      </w:pPr>
    </w:p>
    <w:p w14:paraId="213D420D" w14:textId="77777777" w:rsidR="00E96390" w:rsidRPr="00A01A02" w:rsidRDefault="00E96390" w:rsidP="00E96390">
      <w:pPr>
        <w:jc w:val="center"/>
        <w:outlineLvl w:val="0"/>
        <w:rPr>
          <w:rFonts w:ascii="Times New Roman" w:hAnsi="Times New Roman"/>
          <w:b/>
          <w:color w:val="000000"/>
        </w:rPr>
      </w:pPr>
      <w:r w:rsidRPr="00A01A02">
        <w:rPr>
          <w:rFonts w:ascii="Times New Roman" w:hAnsi="Times New Roman"/>
          <w:b/>
          <w:color w:val="000000"/>
        </w:rPr>
        <w:t>Statement delivered on behalf of the European Union</w:t>
      </w:r>
    </w:p>
    <w:p w14:paraId="461BB51A" w14:textId="77777777" w:rsidR="00E96390" w:rsidRPr="00A01A02" w:rsidRDefault="00E96390" w:rsidP="00E96390">
      <w:pPr>
        <w:jc w:val="center"/>
        <w:outlineLvl w:val="0"/>
        <w:rPr>
          <w:rFonts w:ascii="Times New Roman" w:hAnsi="Times New Roman"/>
          <w:b/>
          <w:color w:val="000000"/>
        </w:rPr>
      </w:pPr>
    </w:p>
    <w:p w14:paraId="2FFF921E" w14:textId="77777777" w:rsidR="00E96390" w:rsidRPr="00A01A02" w:rsidRDefault="00E96390" w:rsidP="00E96390">
      <w:pPr>
        <w:jc w:val="center"/>
        <w:outlineLvl w:val="0"/>
        <w:rPr>
          <w:rFonts w:ascii="Times New Roman" w:hAnsi="Times New Roman"/>
          <w:b/>
          <w:color w:val="000000"/>
        </w:rPr>
      </w:pPr>
    </w:p>
    <w:p w14:paraId="7A956369" w14:textId="77777777" w:rsidR="00E96390" w:rsidRPr="00A01A02" w:rsidRDefault="00E96390" w:rsidP="00E96390">
      <w:pPr>
        <w:jc w:val="center"/>
        <w:outlineLvl w:val="0"/>
        <w:rPr>
          <w:rFonts w:ascii="Times New Roman" w:hAnsi="Times New Roman"/>
          <w:b/>
          <w:color w:val="000000"/>
        </w:rPr>
      </w:pPr>
    </w:p>
    <w:p w14:paraId="50139D2B" w14:textId="77777777" w:rsidR="00E96390" w:rsidRPr="00A01A02" w:rsidRDefault="00E96390" w:rsidP="00E96390">
      <w:pPr>
        <w:jc w:val="center"/>
        <w:outlineLvl w:val="0"/>
        <w:rPr>
          <w:rFonts w:ascii="Times New Roman" w:hAnsi="Times New Roman"/>
          <w:b/>
          <w:color w:val="000000"/>
        </w:rPr>
      </w:pPr>
      <w:r w:rsidRPr="00A01A02">
        <w:rPr>
          <w:rFonts w:ascii="Times New Roman" w:hAnsi="Times New Roman"/>
          <w:b/>
          <w:color w:val="000000"/>
        </w:rPr>
        <w:t>By</w:t>
      </w:r>
    </w:p>
    <w:p w14:paraId="1B81555D" w14:textId="77777777" w:rsidR="00E96390" w:rsidRPr="00A01A02" w:rsidRDefault="00E96390" w:rsidP="00E96390">
      <w:pPr>
        <w:jc w:val="center"/>
        <w:rPr>
          <w:rFonts w:ascii="Times New Roman" w:hAnsi="Times New Roman"/>
          <w:b/>
          <w:color w:val="000000"/>
        </w:rPr>
      </w:pPr>
    </w:p>
    <w:p w14:paraId="4BB482FD" w14:textId="77777777" w:rsidR="00E96390" w:rsidRPr="00A01A02" w:rsidRDefault="00E96390" w:rsidP="00E96390">
      <w:pPr>
        <w:jc w:val="center"/>
        <w:outlineLvl w:val="0"/>
        <w:rPr>
          <w:rFonts w:ascii="Times New Roman" w:hAnsi="Times New Roman"/>
          <w:b/>
        </w:rPr>
      </w:pPr>
      <w:r w:rsidRPr="00A01A02">
        <w:rPr>
          <w:rFonts w:ascii="Times New Roman" w:hAnsi="Times New Roman"/>
          <w:b/>
        </w:rPr>
        <w:t>H.E. Ms Federica Mogherini,</w:t>
      </w:r>
    </w:p>
    <w:p w14:paraId="6711F235" w14:textId="77777777" w:rsidR="00E96390" w:rsidRPr="00A01A02" w:rsidRDefault="00E96390" w:rsidP="00E96390">
      <w:pPr>
        <w:jc w:val="center"/>
        <w:outlineLvl w:val="0"/>
        <w:rPr>
          <w:rFonts w:ascii="Times New Roman" w:hAnsi="Times New Roman"/>
          <w:b/>
        </w:rPr>
      </w:pPr>
      <w:r w:rsidRPr="00A01A02">
        <w:rPr>
          <w:rFonts w:ascii="Times New Roman" w:hAnsi="Times New Roman"/>
          <w:b/>
        </w:rPr>
        <w:t>High Representative of the European Union</w:t>
      </w:r>
    </w:p>
    <w:p w14:paraId="3685D457" w14:textId="77777777" w:rsidR="00E96390" w:rsidRPr="00A01A02" w:rsidRDefault="00E96390" w:rsidP="00E96390">
      <w:pPr>
        <w:jc w:val="center"/>
        <w:outlineLvl w:val="0"/>
        <w:rPr>
          <w:rFonts w:ascii="Times New Roman" w:hAnsi="Times New Roman"/>
          <w:b/>
        </w:rPr>
      </w:pPr>
      <w:proofErr w:type="gramStart"/>
      <w:r w:rsidRPr="00A01A02">
        <w:rPr>
          <w:rFonts w:ascii="Times New Roman" w:hAnsi="Times New Roman"/>
          <w:b/>
        </w:rPr>
        <w:t>for</w:t>
      </w:r>
      <w:proofErr w:type="gramEnd"/>
      <w:r w:rsidRPr="00A01A02">
        <w:rPr>
          <w:rFonts w:ascii="Times New Roman" w:hAnsi="Times New Roman"/>
          <w:b/>
        </w:rPr>
        <w:t xml:space="preserve"> Foreign Affairs and Security Policy (TBC)</w:t>
      </w:r>
    </w:p>
    <w:p w14:paraId="472FD576" w14:textId="77777777" w:rsidR="00E96390" w:rsidRPr="00A01A02" w:rsidRDefault="00E96390" w:rsidP="00E96390">
      <w:pPr>
        <w:jc w:val="center"/>
        <w:rPr>
          <w:rFonts w:ascii="Times New Roman" w:hAnsi="Times New Roman"/>
          <w:b/>
          <w:color w:val="000000"/>
        </w:rPr>
      </w:pPr>
    </w:p>
    <w:p w14:paraId="111CF121" w14:textId="77777777" w:rsidR="00E96390" w:rsidRPr="00A01A02" w:rsidRDefault="00E96390" w:rsidP="00E96390">
      <w:pPr>
        <w:jc w:val="center"/>
        <w:rPr>
          <w:rFonts w:ascii="Times New Roman" w:hAnsi="Times New Roman"/>
          <w:b/>
          <w:color w:val="000000"/>
        </w:rPr>
      </w:pPr>
      <w:proofErr w:type="gramStart"/>
      <w:r w:rsidRPr="00A01A02">
        <w:rPr>
          <w:rFonts w:ascii="Times New Roman" w:hAnsi="Times New Roman"/>
          <w:b/>
          <w:color w:val="000000"/>
        </w:rPr>
        <w:t>at</w:t>
      </w:r>
      <w:proofErr w:type="gramEnd"/>
      <w:r w:rsidRPr="00A01A02">
        <w:rPr>
          <w:rFonts w:ascii="Times New Roman" w:hAnsi="Times New Roman"/>
          <w:b/>
          <w:color w:val="000000"/>
        </w:rPr>
        <w:t xml:space="preserve"> the</w:t>
      </w:r>
    </w:p>
    <w:p w14:paraId="1E5B29A0" w14:textId="77777777" w:rsidR="00E96390" w:rsidRPr="00A01A02" w:rsidRDefault="00E96390" w:rsidP="00E96390">
      <w:pPr>
        <w:jc w:val="center"/>
        <w:rPr>
          <w:rFonts w:ascii="Times New Roman" w:hAnsi="Times New Roman"/>
          <w:b/>
          <w:color w:val="000000"/>
        </w:rPr>
      </w:pPr>
    </w:p>
    <w:p w14:paraId="2A58A02A" w14:textId="2D91DC01" w:rsidR="00E96390" w:rsidRPr="00A01A02" w:rsidRDefault="00E96390" w:rsidP="00E96390">
      <w:pPr>
        <w:pStyle w:val="NoSpacing"/>
        <w:jc w:val="center"/>
        <w:rPr>
          <w:rFonts w:ascii="Times New Roman" w:hAnsi="Times New Roman"/>
          <w:b/>
          <w:sz w:val="24"/>
          <w:szCs w:val="24"/>
          <w:lang w:val="en-GB"/>
        </w:rPr>
      </w:pPr>
      <w:proofErr w:type="gramStart"/>
      <w:r w:rsidRPr="00A01A02">
        <w:rPr>
          <w:rFonts w:ascii="Times New Roman" w:hAnsi="Times New Roman"/>
          <w:b/>
          <w:sz w:val="24"/>
          <w:szCs w:val="24"/>
          <w:lang w:val="en-GB"/>
        </w:rPr>
        <w:t>eleventh</w:t>
      </w:r>
      <w:proofErr w:type="gramEnd"/>
      <w:r w:rsidRPr="00A01A02">
        <w:rPr>
          <w:rFonts w:ascii="Times New Roman" w:hAnsi="Times New Roman"/>
          <w:b/>
          <w:sz w:val="24"/>
          <w:szCs w:val="24"/>
          <w:lang w:val="en-GB"/>
        </w:rPr>
        <w:t xml:space="preserve"> Article XIV Conference </w:t>
      </w:r>
    </w:p>
    <w:p w14:paraId="25053836" w14:textId="77777777" w:rsidR="00E96390" w:rsidRPr="00A01A02" w:rsidRDefault="00E96390" w:rsidP="00E96390">
      <w:pPr>
        <w:pStyle w:val="NoSpacing"/>
        <w:jc w:val="center"/>
        <w:rPr>
          <w:rFonts w:ascii="Times New Roman" w:hAnsi="Times New Roman"/>
          <w:b/>
          <w:sz w:val="24"/>
          <w:szCs w:val="24"/>
          <w:lang w:val="en-GB"/>
        </w:rPr>
      </w:pPr>
      <w:proofErr w:type="gramStart"/>
      <w:r w:rsidRPr="00A01A02">
        <w:rPr>
          <w:rFonts w:ascii="Times New Roman" w:hAnsi="Times New Roman"/>
          <w:b/>
          <w:sz w:val="24"/>
          <w:szCs w:val="24"/>
          <w:lang w:val="en-GB"/>
        </w:rPr>
        <w:t>in</w:t>
      </w:r>
      <w:proofErr w:type="gramEnd"/>
      <w:r w:rsidRPr="00A01A02">
        <w:rPr>
          <w:rFonts w:ascii="Times New Roman" w:hAnsi="Times New Roman"/>
          <w:b/>
          <w:sz w:val="24"/>
          <w:szCs w:val="24"/>
          <w:lang w:val="en-GB"/>
        </w:rPr>
        <w:t xml:space="preserve"> support of the Entry-into-Force of the CTBT</w:t>
      </w:r>
    </w:p>
    <w:p w14:paraId="544A37FF" w14:textId="77777777" w:rsidR="00E96390" w:rsidRPr="00A01A02" w:rsidRDefault="00E96390" w:rsidP="00E96390">
      <w:pPr>
        <w:jc w:val="center"/>
        <w:outlineLvl w:val="0"/>
        <w:rPr>
          <w:rFonts w:ascii="Times New Roman" w:hAnsi="Times New Roman"/>
          <w:b/>
          <w:color w:val="000000"/>
        </w:rPr>
      </w:pPr>
    </w:p>
    <w:p w14:paraId="3E531D4F" w14:textId="77777777" w:rsidR="00E96390" w:rsidRPr="00A01A02" w:rsidRDefault="00E96390" w:rsidP="00E96390">
      <w:pPr>
        <w:jc w:val="center"/>
        <w:rPr>
          <w:rFonts w:ascii="Times New Roman" w:hAnsi="Times New Roman"/>
          <w:b/>
        </w:rPr>
      </w:pPr>
    </w:p>
    <w:p w14:paraId="15983A37" w14:textId="77777777" w:rsidR="00E96390" w:rsidRPr="00A01A02" w:rsidRDefault="00E96390" w:rsidP="00E96390">
      <w:pPr>
        <w:jc w:val="center"/>
        <w:rPr>
          <w:rFonts w:ascii="Times New Roman" w:hAnsi="Times New Roman"/>
          <w:b/>
        </w:rPr>
      </w:pPr>
    </w:p>
    <w:p w14:paraId="0BFE13A5" w14:textId="4F227D98" w:rsidR="00E96390" w:rsidRPr="00A01A02" w:rsidRDefault="00E96390" w:rsidP="00E96390">
      <w:pPr>
        <w:jc w:val="center"/>
        <w:rPr>
          <w:rFonts w:ascii="Times New Roman" w:hAnsi="Times New Roman"/>
          <w:b/>
          <w:i/>
          <w:color w:val="000000"/>
        </w:rPr>
      </w:pPr>
    </w:p>
    <w:p w14:paraId="2D44553E" w14:textId="77777777" w:rsidR="00E96390" w:rsidRPr="00A01A02" w:rsidRDefault="00E96390" w:rsidP="00E96390">
      <w:pPr>
        <w:jc w:val="center"/>
        <w:rPr>
          <w:rFonts w:ascii="Times New Roman" w:hAnsi="Times New Roman"/>
          <w:b/>
          <w:color w:val="000000"/>
        </w:rPr>
      </w:pPr>
    </w:p>
    <w:p w14:paraId="3186FD1F" w14:textId="77777777" w:rsidR="00E96390" w:rsidRPr="00A01A02" w:rsidRDefault="00E96390" w:rsidP="00E96390">
      <w:pPr>
        <w:jc w:val="center"/>
        <w:rPr>
          <w:rFonts w:ascii="Times New Roman" w:hAnsi="Times New Roman"/>
          <w:b/>
          <w:color w:val="000000"/>
        </w:rPr>
      </w:pPr>
    </w:p>
    <w:p w14:paraId="22A960AF" w14:textId="77777777" w:rsidR="00E96390" w:rsidRPr="00A01A02" w:rsidRDefault="00E96390" w:rsidP="00E96390">
      <w:pPr>
        <w:jc w:val="center"/>
        <w:outlineLvl w:val="0"/>
        <w:rPr>
          <w:rFonts w:ascii="Times New Roman" w:hAnsi="Times New Roman"/>
          <w:b/>
          <w:color w:val="000000"/>
        </w:rPr>
      </w:pPr>
      <w:r w:rsidRPr="00A01A02">
        <w:rPr>
          <w:rFonts w:ascii="Times New Roman" w:hAnsi="Times New Roman"/>
          <w:b/>
          <w:color w:val="000000"/>
        </w:rPr>
        <w:t>United Nations</w:t>
      </w:r>
    </w:p>
    <w:p w14:paraId="56EEEBEB" w14:textId="77777777" w:rsidR="00E96390" w:rsidRPr="00A01A02" w:rsidRDefault="00E96390" w:rsidP="00E96390">
      <w:pPr>
        <w:jc w:val="center"/>
        <w:outlineLvl w:val="0"/>
        <w:rPr>
          <w:rFonts w:ascii="Times New Roman" w:hAnsi="Times New Roman"/>
          <w:b/>
          <w:color w:val="000000"/>
        </w:rPr>
      </w:pPr>
    </w:p>
    <w:p w14:paraId="26DD881D" w14:textId="77777777" w:rsidR="00E96390" w:rsidRPr="00A01A02" w:rsidRDefault="00E96390" w:rsidP="00E96390">
      <w:pPr>
        <w:jc w:val="center"/>
        <w:outlineLvl w:val="0"/>
        <w:rPr>
          <w:rFonts w:ascii="Times New Roman" w:hAnsi="Times New Roman"/>
          <w:b/>
          <w:color w:val="000000"/>
        </w:rPr>
      </w:pPr>
      <w:r w:rsidRPr="00A01A02">
        <w:rPr>
          <w:rFonts w:ascii="Times New Roman" w:hAnsi="Times New Roman"/>
          <w:b/>
          <w:color w:val="000000"/>
        </w:rPr>
        <w:t>New York</w:t>
      </w:r>
    </w:p>
    <w:p w14:paraId="1BBB9009" w14:textId="77777777" w:rsidR="00E96390" w:rsidRPr="00A01A02" w:rsidRDefault="00E96390" w:rsidP="00E96390">
      <w:pPr>
        <w:jc w:val="center"/>
        <w:rPr>
          <w:rFonts w:ascii="Times New Roman" w:hAnsi="Times New Roman"/>
          <w:b/>
          <w:color w:val="000000"/>
        </w:rPr>
      </w:pPr>
    </w:p>
    <w:p w14:paraId="05917866" w14:textId="4C6A7E5D" w:rsidR="00E96390" w:rsidRPr="00A01A02" w:rsidRDefault="00E96390" w:rsidP="00E96390">
      <w:pPr>
        <w:jc w:val="center"/>
        <w:rPr>
          <w:rFonts w:ascii="Times New Roman" w:hAnsi="Times New Roman"/>
          <w:b/>
          <w:color w:val="000000"/>
        </w:rPr>
      </w:pPr>
      <w:r w:rsidRPr="00A01A02">
        <w:rPr>
          <w:rFonts w:ascii="Times New Roman" w:hAnsi="Times New Roman"/>
          <w:b/>
          <w:color w:val="000000"/>
        </w:rPr>
        <w:t>25 September 2019</w:t>
      </w:r>
    </w:p>
    <w:p w14:paraId="38C48D57" w14:textId="77777777" w:rsidR="00E96390" w:rsidRPr="00A01A02" w:rsidRDefault="00E96390" w:rsidP="00E96390">
      <w:pPr>
        <w:jc w:val="center"/>
        <w:rPr>
          <w:rFonts w:ascii="Times New Roman" w:hAnsi="Times New Roman"/>
          <w:b/>
          <w:color w:val="000000"/>
        </w:rPr>
      </w:pPr>
    </w:p>
    <w:p w14:paraId="676F037E" w14:textId="77777777" w:rsidR="00E96390" w:rsidRPr="00A01A02" w:rsidRDefault="00E96390" w:rsidP="00E96390">
      <w:pPr>
        <w:jc w:val="center"/>
        <w:rPr>
          <w:rFonts w:ascii="Times New Roman" w:hAnsi="Times New Roman"/>
          <w:b/>
          <w:color w:val="000000"/>
        </w:rPr>
      </w:pPr>
    </w:p>
    <w:p w14:paraId="28E5DE27" w14:textId="77777777" w:rsidR="00E96390" w:rsidRPr="00A01A02" w:rsidRDefault="00E96390" w:rsidP="00E96390">
      <w:pPr>
        <w:jc w:val="center"/>
        <w:rPr>
          <w:rFonts w:ascii="Times New Roman" w:hAnsi="Times New Roman"/>
          <w:b/>
          <w:color w:val="000000"/>
        </w:rPr>
      </w:pPr>
    </w:p>
    <w:p w14:paraId="15884ECB" w14:textId="77777777" w:rsidR="00E96390" w:rsidRPr="00A01A02" w:rsidRDefault="00E96390" w:rsidP="00E96390">
      <w:pPr>
        <w:jc w:val="center"/>
        <w:rPr>
          <w:rFonts w:ascii="Times New Roman" w:hAnsi="Times New Roman"/>
          <w:b/>
          <w:color w:val="000000"/>
        </w:rPr>
      </w:pPr>
    </w:p>
    <w:p w14:paraId="2943864F" w14:textId="77777777" w:rsidR="00E96390" w:rsidRPr="00A01A02" w:rsidRDefault="00E96390" w:rsidP="00E96390">
      <w:pPr>
        <w:jc w:val="center"/>
        <w:rPr>
          <w:rFonts w:ascii="Times New Roman" w:hAnsi="Times New Roman"/>
          <w:b/>
          <w:color w:val="000000"/>
        </w:rPr>
      </w:pPr>
    </w:p>
    <w:p w14:paraId="1E843FE5" w14:textId="21AEDADC" w:rsidR="00E96390" w:rsidRPr="00A01A02" w:rsidRDefault="00E96390" w:rsidP="00E96390">
      <w:pPr>
        <w:jc w:val="center"/>
        <w:rPr>
          <w:rFonts w:ascii="Times New Roman" w:hAnsi="Times New Roman"/>
          <w:b/>
          <w:color w:val="000000"/>
        </w:rPr>
      </w:pPr>
      <w:r w:rsidRPr="00A01A02">
        <w:rPr>
          <w:rFonts w:ascii="Times New Roman" w:hAnsi="Times New Roman"/>
          <w:b/>
          <w:color w:val="000000"/>
        </w:rPr>
        <w:t>- CHECK AGAINST DELIVERY –</w:t>
      </w:r>
    </w:p>
    <w:p w14:paraId="3C733D64" w14:textId="77777777" w:rsidR="00E96390" w:rsidRPr="00A01A02" w:rsidRDefault="00E96390" w:rsidP="00E96390">
      <w:pPr>
        <w:jc w:val="center"/>
        <w:rPr>
          <w:rFonts w:ascii="Times New Roman" w:hAnsi="Times New Roman"/>
          <w:b/>
          <w:color w:val="000000"/>
        </w:rPr>
      </w:pPr>
    </w:p>
    <w:p w14:paraId="4C0EE005" w14:textId="77777777" w:rsidR="00E96390" w:rsidRPr="00A01A02" w:rsidRDefault="00E96390" w:rsidP="00E96390">
      <w:pPr>
        <w:jc w:val="center"/>
        <w:rPr>
          <w:rFonts w:ascii="Times New Roman" w:hAnsi="Times New Roman"/>
          <w:b/>
          <w:color w:val="000000"/>
        </w:rPr>
      </w:pPr>
    </w:p>
    <w:p w14:paraId="71B4FF33" w14:textId="77777777" w:rsidR="00E96390" w:rsidRDefault="00E96390" w:rsidP="00E96390">
      <w:pPr>
        <w:jc w:val="center"/>
        <w:rPr>
          <w:b/>
          <w:color w:val="000000"/>
        </w:rPr>
      </w:pPr>
    </w:p>
    <w:p w14:paraId="47AF2A22" w14:textId="77777777" w:rsidR="00E96390" w:rsidRDefault="00E96390" w:rsidP="00E96390">
      <w:pPr>
        <w:jc w:val="center"/>
        <w:rPr>
          <w:b/>
          <w:color w:val="000000"/>
        </w:rPr>
      </w:pPr>
    </w:p>
    <w:p w14:paraId="25F035B1" w14:textId="77777777" w:rsidR="00E96390" w:rsidRDefault="00E96390" w:rsidP="00E96390">
      <w:pPr>
        <w:jc w:val="center"/>
        <w:rPr>
          <w:b/>
          <w:color w:val="000000"/>
        </w:rPr>
      </w:pPr>
    </w:p>
    <w:p w14:paraId="0B488AE4" w14:textId="77777777" w:rsidR="00E96390" w:rsidRDefault="00E96390" w:rsidP="00E96390">
      <w:pPr>
        <w:jc w:val="center"/>
        <w:rPr>
          <w:b/>
          <w:color w:val="000000"/>
        </w:rPr>
      </w:pPr>
    </w:p>
    <w:p w14:paraId="7904FA28" w14:textId="77777777" w:rsidR="00E96390" w:rsidRDefault="00E96390" w:rsidP="00E96390">
      <w:pPr>
        <w:jc w:val="center"/>
        <w:rPr>
          <w:b/>
          <w:color w:val="000000"/>
        </w:rPr>
      </w:pPr>
    </w:p>
    <w:p w14:paraId="4EFDCC9D" w14:textId="77777777" w:rsidR="00E96390" w:rsidRDefault="00E96390" w:rsidP="00E96390">
      <w:pPr>
        <w:jc w:val="center"/>
        <w:rPr>
          <w:b/>
          <w:color w:val="000000"/>
        </w:rPr>
      </w:pPr>
    </w:p>
    <w:p w14:paraId="799F7514" w14:textId="77777777" w:rsidR="00E96390" w:rsidRDefault="00E96390" w:rsidP="00E96390">
      <w:pPr>
        <w:jc w:val="center"/>
        <w:rPr>
          <w:b/>
          <w:color w:val="000000"/>
        </w:rPr>
      </w:pPr>
    </w:p>
    <w:p w14:paraId="51C3F41E" w14:textId="77777777" w:rsidR="00E96390" w:rsidRDefault="00E96390" w:rsidP="00E96390">
      <w:pPr>
        <w:jc w:val="center"/>
        <w:rPr>
          <w:b/>
          <w:color w:val="000000"/>
        </w:rPr>
      </w:pPr>
    </w:p>
    <w:p w14:paraId="487EDE4F" w14:textId="77777777" w:rsidR="00A01A02" w:rsidRDefault="00A01A02" w:rsidP="00E96390">
      <w:pPr>
        <w:jc w:val="center"/>
        <w:rPr>
          <w:b/>
          <w:color w:val="000000"/>
        </w:rPr>
      </w:pPr>
    </w:p>
    <w:p w14:paraId="657916F6" w14:textId="77777777" w:rsidR="00E96390" w:rsidRDefault="00E96390" w:rsidP="00E96390">
      <w:pPr>
        <w:jc w:val="center"/>
        <w:rPr>
          <w:b/>
          <w:color w:val="000000"/>
        </w:rPr>
      </w:pPr>
    </w:p>
    <w:p w14:paraId="1E9AAB2C" w14:textId="77777777" w:rsidR="00D21F32" w:rsidRDefault="00D21F32" w:rsidP="00D21F32">
      <w:pPr>
        <w:keepLines/>
        <w:widowControl w:val="0"/>
        <w:autoSpaceDE w:val="0"/>
        <w:autoSpaceDN w:val="0"/>
        <w:adjustRightInd w:val="0"/>
        <w:spacing w:after="240" w:line="360" w:lineRule="auto"/>
        <w:jc w:val="both"/>
        <w:rPr>
          <w:rFonts w:ascii="Times New Roman" w:hAnsi="Times New Roman"/>
          <w:lang w:eastAsia="en-GB"/>
        </w:rPr>
      </w:pPr>
    </w:p>
    <w:p w14:paraId="0D602509" w14:textId="77777777" w:rsidR="00D21F32" w:rsidRPr="00D21F32" w:rsidRDefault="00D21F32" w:rsidP="00D21F32">
      <w:pPr>
        <w:keepLines/>
        <w:widowControl w:val="0"/>
        <w:autoSpaceDE w:val="0"/>
        <w:autoSpaceDN w:val="0"/>
        <w:adjustRightInd w:val="0"/>
        <w:spacing w:after="240" w:line="360" w:lineRule="auto"/>
        <w:jc w:val="both"/>
        <w:rPr>
          <w:rFonts w:ascii="Times New Roman" w:hAnsi="Times New Roman"/>
          <w:lang w:eastAsia="en-GB"/>
        </w:rPr>
      </w:pPr>
      <w:r w:rsidRPr="00D21F32">
        <w:rPr>
          <w:rFonts w:ascii="Times New Roman" w:hAnsi="Times New Roman"/>
          <w:lang w:eastAsia="en-GB"/>
        </w:rPr>
        <w:lastRenderedPageBreak/>
        <w:t>Distinguished Co-Presidents,</w:t>
      </w:r>
    </w:p>
    <w:p w14:paraId="3C797295" w14:textId="77777777" w:rsidR="00D21F32" w:rsidRPr="00D21F32" w:rsidRDefault="00D21F32" w:rsidP="00D21F32">
      <w:pPr>
        <w:keepLines/>
        <w:spacing w:after="240" w:line="360" w:lineRule="auto"/>
        <w:jc w:val="both"/>
        <w:rPr>
          <w:rFonts w:ascii="Times New Roman" w:hAnsi="Times New Roman"/>
          <w:lang w:eastAsia="en-GB"/>
        </w:rPr>
      </w:pPr>
      <w:r w:rsidRPr="00D21F32">
        <w:rPr>
          <w:rFonts w:ascii="Times New Roman" w:hAnsi="Times New Roman"/>
          <w:lang w:eastAsia="en-GB"/>
        </w:rPr>
        <w:t>I have the honour to speak on behalf of the European Union.</w:t>
      </w:r>
    </w:p>
    <w:p w14:paraId="1A2D8D55" w14:textId="77777777" w:rsidR="00D21F32" w:rsidRPr="00D21F32" w:rsidRDefault="00D21F32" w:rsidP="00D21F32">
      <w:pPr>
        <w:keepLines/>
        <w:spacing w:after="240" w:line="360" w:lineRule="auto"/>
        <w:jc w:val="both"/>
        <w:rPr>
          <w:rFonts w:ascii="Times New Roman" w:hAnsi="Times New Roman"/>
          <w:lang w:eastAsia="en-GB"/>
        </w:rPr>
      </w:pPr>
      <w:r w:rsidRPr="00D21F32">
        <w:rPr>
          <w:rFonts w:ascii="Times New Roman" w:hAnsi="Times New Roman"/>
          <w:lang w:eastAsia="en-GB"/>
        </w:rPr>
        <w:t xml:space="preserve">The European Union would like to congratulate Germany and Algeria on assuming the Presidency of the eleventh session of the Article XIV Conference. We assure you of our full support and cooperation in fulfilling your important mandate. We would also like to express our appreciation for the work carried out by Belgium and Iraq as previous Article XIV Coordinators. We thank the Secretary General, for convening this Conference and thank all representatives of States Signatories for being present here today. We would also like to thank </w:t>
      </w:r>
      <w:proofErr w:type="spellStart"/>
      <w:r w:rsidRPr="00D21F32">
        <w:rPr>
          <w:rFonts w:ascii="Times New Roman" w:hAnsi="Times New Roman"/>
          <w:lang w:eastAsia="en-GB"/>
        </w:rPr>
        <w:t>Lassina</w:t>
      </w:r>
      <w:proofErr w:type="spellEnd"/>
      <w:r w:rsidRPr="00D21F32">
        <w:rPr>
          <w:rFonts w:ascii="Times New Roman" w:hAnsi="Times New Roman"/>
          <w:lang w:eastAsia="en-GB"/>
        </w:rPr>
        <w:t xml:space="preserve"> </w:t>
      </w:r>
      <w:proofErr w:type="spellStart"/>
      <w:r w:rsidRPr="00D21F32">
        <w:rPr>
          <w:rFonts w:ascii="Times New Roman" w:hAnsi="Times New Roman"/>
          <w:lang w:eastAsia="en-GB"/>
        </w:rPr>
        <w:t>Zerbo</w:t>
      </w:r>
      <w:proofErr w:type="spellEnd"/>
      <w:r w:rsidRPr="00D21F32">
        <w:rPr>
          <w:rFonts w:ascii="Times New Roman" w:hAnsi="Times New Roman"/>
          <w:lang w:eastAsia="en-GB"/>
        </w:rPr>
        <w:t xml:space="preserve"> and his team for their tireless work in promoting the entry into force and universal adherence to the Comprehensive Nuclear-Test-Ban Treaty.</w:t>
      </w:r>
    </w:p>
    <w:p w14:paraId="6093A921" w14:textId="77777777" w:rsidR="00D21F32" w:rsidRPr="00D21F32" w:rsidRDefault="00D21F32" w:rsidP="00D21F32">
      <w:pPr>
        <w:keepLines/>
        <w:spacing w:after="240" w:line="360" w:lineRule="auto"/>
        <w:jc w:val="both"/>
        <w:rPr>
          <w:rFonts w:ascii="Times New Roman" w:hAnsi="Times New Roman"/>
          <w:lang w:eastAsia="en-GB"/>
        </w:rPr>
      </w:pPr>
      <w:r w:rsidRPr="00D21F32">
        <w:rPr>
          <w:rFonts w:ascii="Times New Roman" w:hAnsi="Times New Roman"/>
          <w:lang w:eastAsia="en-GB"/>
        </w:rPr>
        <w:t>The European Union firmly believes that effective multilateralism and a rules-based international system are indispensable in countering the proliferation of weapons of mass destruction. The Comprehensive Test-Ban Treaty is one of the key pillars of the international disarmament and non-proliferation architecture, and as such, it contributes to global peace and security.</w:t>
      </w:r>
    </w:p>
    <w:p w14:paraId="1BCC3A1F" w14:textId="77777777" w:rsidR="00D21F32" w:rsidRPr="00D21F32" w:rsidRDefault="00D21F32" w:rsidP="00D21F32">
      <w:pPr>
        <w:keepLines/>
        <w:spacing w:after="240" w:line="360" w:lineRule="auto"/>
        <w:jc w:val="both"/>
        <w:rPr>
          <w:rFonts w:ascii="Times New Roman" w:hAnsi="Times New Roman"/>
          <w:lang w:eastAsia="en-GB"/>
        </w:rPr>
      </w:pPr>
      <w:r w:rsidRPr="00D21F32">
        <w:rPr>
          <w:rFonts w:ascii="Times New Roman" w:hAnsi="Times New Roman"/>
          <w:lang w:eastAsia="en-GB"/>
        </w:rPr>
        <w:t>The EU will continue to voice support for the Treaty and its Organisation in multilateral fora, including at the 2020 Review Conference of the Nuclear Non-Proliferation Treaty.</w:t>
      </w:r>
    </w:p>
    <w:p w14:paraId="04DE76A8" w14:textId="77777777" w:rsidR="00D21F32" w:rsidRPr="00D21F32" w:rsidRDefault="00D21F32" w:rsidP="00D21F32">
      <w:pPr>
        <w:keepLines/>
        <w:spacing w:after="240" w:line="360" w:lineRule="auto"/>
        <w:jc w:val="both"/>
        <w:rPr>
          <w:rFonts w:ascii="Times New Roman" w:hAnsi="Times New Roman"/>
          <w:lang w:eastAsia="en-GB"/>
        </w:rPr>
      </w:pPr>
      <w:r w:rsidRPr="00D21F32">
        <w:rPr>
          <w:rFonts w:ascii="Times New Roman" w:hAnsi="Times New Roman"/>
          <w:lang w:eastAsia="en-GB"/>
        </w:rPr>
        <w:t xml:space="preserve">We urge all States which have yet to sign or ratify the Treaty to do so without any preconditions or further delay. In line with UN Security Council Resolution 2310 we encourage a variety of initiatives to engage especially with the remaining Annex II States (Egypt, China, Iran, Israel, and the US) that still have to ratify the Treaty, but also with the DPRK, India and Pakistan that still have to sign and ratify it. We welcome the latest ratification by Zimbabwe, increasing the number of ratifications to 168. </w:t>
      </w:r>
    </w:p>
    <w:p w14:paraId="657AB1C4" w14:textId="77777777" w:rsidR="00D21F32" w:rsidRPr="00D21F32" w:rsidRDefault="00D21F32" w:rsidP="00D21F32">
      <w:pPr>
        <w:keepLines/>
        <w:spacing w:after="240" w:line="360" w:lineRule="auto"/>
        <w:jc w:val="both"/>
        <w:rPr>
          <w:rFonts w:ascii="Times New Roman" w:hAnsi="Times New Roman"/>
          <w:lang w:eastAsia="en-GB"/>
        </w:rPr>
      </w:pPr>
      <w:r w:rsidRPr="00D21F32">
        <w:rPr>
          <w:rFonts w:ascii="Times New Roman" w:hAnsi="Times New Roman"/>
          <w:lang w:eastAsia="en-GB"/>
        </w:rPr>
        <w:t>We encourage the Provisional Technical Secretariat to continue to pro-actively promote the Treaty and join forces with civil society. In this context, we welcome the work of the CTBTO Youth Group.</w:t>
      </w:r>
    </w:p>
    <w:p w14:paraId="2F02A8E3" w14:textId="77777777" w:rsidR="00D21F32" w:rsidRPr="00D21F32" w:rsidRDefault="00D21F32" w:rsidP="00D21F32">
      <w:pPr>
        <w:keepLines/>
        <w:spacing w:after="240" w:line="360" w:lineRule="auto"/>
        <w:jc w:val="both"/>
        <w:rPr>
          <w:rFonts w:ascii="Times New Roman" w:hAnsi="Times New Roman"/>
          <w:lang w:eastAsia="en-GB"/>
        </w:rPr>
      </w:pPr>
      <w:r w:rsidRPr="00D21F32">
        <w:rPr>
          <w:rFonts w:ascii="Times New Roman" w:hAnsi="Times New Roman"/>
          <w:lang w:eastAsia="en-GB"/>
        </w:rPr>
        <w:t xml:space="preserve">Pending entry into force of the Treaty, we call on all States to refrain from conducting any action contrary to its object and purpose. We also call on all States to maintain moratoria on nuclear weapon test explosions and other nuclear explosions. </w:t>
      </w:r>
    </w:p>
    <w:p w14:paraId="1415C989" w14:textId="77777777" w:rsidR="00D21F32" w:rsidRPr="00D21F32" w:rsidRDefault="00D21F32" w:rsidP="00D21F32">
      <w:pPr>
        <w:keepLines/>
        <w:spacing w:after="240" w:line="360" w:lineRule="auto"/>
        <w:jc w:val="both"/>
        <w:rPr>
          <w:rFonts w:ascii="Times New Roman" w:hAnsi="Times New Roman"/>
          <w:lang w:eastAsia="en-GB"/>
        </w:rPr>
      </w:pPr>
      <w:r w:rsidRPr="00D21F32">
        <w:rPr>
          <w:rFonts w:ascii="Times New Roman" w:hAnsi="Times New Roman"/>
          <w:lang w:eastAsia="en-GB"/>
        </w:rPr>
        <w:lastRenderedPageBreak/>
        <w:t>The European Union urges the DPRK to embark on a credible path towards a complete, verifiable and irreversible de-</w:t>
      </w:r>
      <w:proofErr w:type="spellStart"/>
      <w:r w:rsidRPr="00D21F32">
        <w:rPr>
          <w:rFonts w:ascii="Times New Roman" w:hAnsi="Times New Roman"/>
          <w:lang w:eastAsia="en-GB"/>
        </w:rPr>
        <w:t>nuclearisation</w:t>
      </w:r>
      <w:proofErr w:type="spellEnd"/>
      <w:r w:rsidRPr="00D21F32">
        <w:rPr>
          <w:rFonts w:ascii="Times New Roman" w:hAnsi="Times New Roman"/>
          <w:lang w:eastAsia="en-GB"/>
        </w:rPr>
        <w:t xml:space="preserve"> and to immediately comply with all relevant UN Security Council resolutions.</w:t>
      </w:r>
    </w:p>
    <w:p w14:paraId="22E141AC" w14:textId="77777777" w:rsidR="00D21F32" w:rsidRPr="00D21F32" w:rsidRDefault="00D21F32" w:rsidP="00D21F32">
      <w:pPr>
        <w:keepLines/>
        <w:spacing w:after="240" w:line="360" w:lineRule="auto"/>
        <w:jc w:val="both"/>
        <w:rPr>
          <w:rFonts w:ascii="Times New Roman" w:hAnsi="Times New Roman"/>
          <w:lang w:eastAsia="en-GB"/>
        </w:rPr>
      </w:pPr>
      <w:r w:rsidRPr="00D21F32">
        <w:rPr>
          <w:rFonts w:ascii="Times New Roman" w:hAnsi="Times New Roman"/>
          <w:lang w:eastAsia="en-GB"/>
        </w:rPr>
        <w:t>We encourage the DPRK to further engage in meaningful discussions with all relevant parties, as the international community works towards lasting peace and security on the Korean Peninsula. We call on the DPRK to give effect to its stated intention to end nuclear testing by signing and ratifying the Comprehensive Test-Ban Treaty. The EU hopes for tangible progress leading to the verifiable dismantlement of the North Korea’s nuclear test sites.  In this context, the CTBTO and its expertise could make an important contribution.</w:t>
      </w:r>
    </w:p>
    <w:p w14:paraId="36A1201A" w14:textId="77777777" w:rsidR="00D21F32" w:rsidRPr="00D21F32" w:rsidRDefault="00D21F32" w:rsidP="00D21F32">
      <w:pPr>
        <w:keepLines/>
        <w:spacing w:after="240" w:line="360" w:lineRule="auto"/>
        <w:jc w:val="both"/>
        <w:rPr>
          <w:rFonts w:ascii="Times New Roman" w:hAnsi="Times New Roman"/>
          <w:lang w:eastAsia="en-GB"/>
        </w:rPr>
      </w:pPr>
      <w:r w:rsidRPr="00D21F32">
        <w:rPr>
          <w:rFonts w:ascii="Times New Roman" w:hAnsi="Times New Roman"/>
          <w:lang w:eastAsia="en-GB"/>
        </w:rPr>
        <w:t xml:space="preserve">Following the DPRK's nuclear tests the CTBTO demonstrated its invaluable role in quickly providing reliable and independent data. This enabled the international community to respond appropriately and swiftly. The Organisation has provided the world with a truly global, hi-tech monitoring system for nuclear explosions – something that no single country could do. The EU reiterates its confidence in the CTBT's verification regime and looks forward to the completion of the International Monitoring System. </w:t>
      </w:r>
    </w:p>
    <w:p w14:paraId="5E595D42" w14:textId="77777777" w:rsidR="00D21F32" w:rsidRPr="00D21F32" w:rsidRDefault="00D21F32" w:rsidP="00D21F32">
      <w:pPr>
        <w:keepLines/>
        <w:spacing w:after="240" w:line="360" w:lineRule="auto"/>
        <w:jc w:val="both"/>
        <w:rPr>
          <w:rFonts w:ascii="Times New Roman" w:hAnsi="Times New Roman"/>
          <w:lang w:eastAsia="en-GB"/>
        </w:rPr>
      </w:pPr>
      <w:r w:rsidRPr="00D21F32">
        <w:rPr>
          <w:rFonts w:ascii="Times New Roman" w:hAnsi="Times New Roman"/>
          <w:lang w:eastAsia="en-GB"/>
        </w:rPr>
        <w:t xml:space="preserve">The Organisation assists States in using data from the Monitoring System for civil and scientific applications, including tsunami warning. We advocate fully exploiting potential benefits of civil and scientific applications of IMS data and we financially support capacity building for developing countries in this regard. </w:t>
      </w:r>
    </w:p>
    <w:p w14:paraId="255BA8AF" w14:textId="77777777" w:rsidR="00D21F32" w:rsidRPr="00D21F32" w:rsidRDefault="00D21F32" w:rsidP="00D21F32">
      <w:pPr>
        <w:keepLines/>
        <w:spacing w:after="240" w:line="360" w:lineRule="auto"/>
        <w:jc w:val="both"/>
        <w:rPr>
          <w:rFonts w:ascii="Times New Roman" w:hAnsi="Times New Roman"/>
          <w:lang w:eastAsia="en-GB"/>
        </w:rPr>
      </w:pPr>
      <w:r w:rsidRPr="00D21F32">
        <w:rPr>
          <w:rFonts w:ascii="Times New Roman" w:hAnsi="Times New Roman"/>
          <w:lang w:eastAsia="en-GB"/>
        </w:rPr>
        <w:t>The Organisation can only carry out its mandatory functions if provided with the necessary funding. We therefore call upon all concerned States to honour their financial obligations and step up their political support.</w:t>
      </w:r>
    </w:p>
    <w:p w14:paraId="48631724" w14:textId="77777777" w:rsidR="00D21F32" w:rsidRPr="00D21F32" w:rsidRDefault="00D21F32" w:rsidP="00D21F32">
      <w:pPr>
        <w:keepLines/>
        <w:spacing w:after="240" w:line="360" w:lineRule="auto"/>
        <w:jc w:val="both"/>
        <w:rPr>
          <w:rFonts w:ascii="Times New Roman" w:hAnsi="Times New Roman"/>
          <w:lang w:eastAsia="en-GB"/>
        </w:rPr>
      </w:pPr>
      <w:r w:rsidRPr="00D21F32">
        <w:rPr>
          <w:rFonts w:ascii="Times New Roman" w:hAnsi="Times New Roman"/>
          <w:lang w:eastAsia="en-GB"/>
        </w:rPr>
        <w:t>Since 2006, the EU has provided the CTBTO with voluntary contributions of more than 23 million Euros. Our longstanding support for the strengthening of the CTBTO’s monitoring and verification capabilities will continue.</w:t>
      </w:r>
    </w:p>
    <w:p w14:paraId="1C7BAA8E" w14:textId="77777777" w:rsidR="00D21F32" w:rsidRPr="00D21F32" w:rsidRDefault="00D21F32" w:rsidP="00D21F32">
      <w:pPr>
        <w:keepLines/>
        <w:spacing w:after="240" w:line="360" w:lineRule="auto"/>
        <w:jc w:val="both"/>
        <w:rPr>
          <w:rFonts w:ascii="Times New Roman" w:hAnsi="Times New Roman"/>
          <w:lang w:eastAsia="en-GB"/>
        </w:rPr>
      </w:pPr>
      <w:r w:rsidRPr="00D21F32">
        <w:rPr>
          <w:rFonts w:ascii="Times New Roman" w:hAnsi="Times New Roman"/>
          <w:lang w:eastAsia="en-GB"/>
        </w:rPr>
        <w:t>Another essential way for State Signatories to show concrete support for and confidence in the Treaty is to build and operate stations, and to send data.</w:t>
      </w:r>
    </w:p>
    <w:p w14:paraId="4F4AC155" w14:textId="77777777" w:rsidR="00D21F32" w:rsidRPr="00D21F32" w:rsidRDefault="00D21F32" w:rsidP="00D21F32">
      <w:pPr>
        <w:keepLines/>
        <w:spacing w:after="240" w:line="360" w:lineRule="auto"/>
        <w:jc w:val="both"/>
        <w:rPr>
          <w:rFonts w:ascii="Times New Roman" w:hAnsi="Times New Roman"/>
          <w:lang w:eastAsia="en-GB"/>
        </w:rPr>
      </w:pPr>
      <w:r w:rsidRPr="00D21F32">
        <w:rPr>
          <w:rFonts w:ascii="Times New Roman" w:hAnsi="Times New Roman"/>
          <w:lang w:eastAsia="en-GB"/>
        </w:rPr>
        <w:t>We will continue to use every opportunity to advocate the Treaty’s prompt entry into force and universalization in relevant international fora and in meetings with countries that have not yet signed or ratified the Treaty.</w:t>
      </w:r>
    </w:p>
    <w:p w14:paraId="01E7B91E" w14:textId="77777777" w:rsidR="00D21F32" w:rsidRPr="00D21F32" w:rsidRDefault="00D21F32" w:rsidP="00D21F32">
      <w:pPr>
        <w:keepLines/>
        <w:spacing w:after="240" w:line="360" w:lineRule="auto"/>
        <w:ind w:left="1134" w:right="987"/>
        <w:jc w:val="center"/>
        <w:rPr>
          <w:rFonts w:ascii="Times New Roman" w:hAnsi="Times New Roman"/>
          <w:lang w:eastAsia="en-GB"/>
        </w:rPr>
      </w:pPr>
      <w:r w:rsidRPr="00D21F32">
        <w:rPr>
          <w:rFonts w:ascii="Times New Roman" w:hAnsi="Times New Roman"/>
          <w:lang w:eastAsia="en-GB"/>
        </w:rPr>
        <w:t>***</w:t>
      </w:r>
    </w:p>
    <w:p w14:paraId="31B56235" w14:textId="77777777" w:rsidR="00D21F32" w:rsidRPr="00D21F32" w:rsidRDefault="00D21F32" w:rsidP="00533A1B">
      <w:pPr>
        <w:keepLines/>
        <w:spacing w:after="240" w:line="360" w:lineRule="auto"/>
        <w:ind w:left="270" w:right="424" w:firstLine="864"/>
        <w:jc w:val="both"/>
        <w:rPr>
          <w:rFonts w:ascii="Times New Roman" w:hAnsi="Times New Roman"/>
          <w:lang w:eastAsia="en-GB"/>
        </w:rPr>
      </w:pPr>
      <w:bookmarkStart w:id="0" w:name="_GoBack"/>
      <w:bookmarkEnd w:id="0"/>
      <w:r w:rsidRPr="00D21F32">
        <w:rPr>
          <w:rFonts w:ascii="Times New Roman" w:hAnsi="Times New Roman"/>
          <w:lang w:eastAsia="en-GB"/>
        </w:rPr>
        <w:lastRenderedPageBreak/>
        <w:t>I would also like to add a few words in a personal capacity.</w:t>
      </w:r>
    </w:p>
    <w:p w14:paraId="1685487A" w14:textId="77777777" w:rsidR="00D21F32" w:rsidRPr="00D21F32" w:rsidRDefault="00D21F32" w:rsidP="00D21F32">
      <w:pPr>
        <w:keepLines/>
        <w:spacing w:after="240" w:line="360" w:lineRule="auto"/>
        <w:ind w:left="1134" w:right="987"/>
        <w:jc w:val="both"/>
        <w:rPr>
          <w:rFonts w:ascii="Times New Roman" w:hAnsi="Times New Roman"/>
          <w:lang w:eastAsia="en-GB"/>
        </w:rPr>
      </w:pPr>
      <w:r w:rsidRPr="00D21F32">
        <w:rPr>
          <w:rFonts w:ascii="Times New Roman" w:hAnsi="Times New Roman"/>
          <w:lang w:eastAsia="en-GB"/>
        </w:rPr>
        <w:t>Today we are witnessing attempts to dismantle the rules and the agreements that we have built together, and that have made our world more secure.</w:t>
      </w:r>
    </w:p>
    <w:p w14:paraId="123A23CD" w14:textId="77777777" w:rsidR="00D21F32" w:rsidRPr="00D21F32" w:rsidRDefault="00D21F32" w:rsidP="00D21F32">
      <w:pPr>
        <w:keepLines/>
        <w:spacing w:after="240" w:line="360" w:lineRule="auto"/>
        <w:ind w:left="1134" w:right="987"/>
        <w:jc w:val="both"/>
        <w:rPr>
          <w:rFonts w:ascii="Times New Roman" w:hAnsi="Times New Roman"/>
          <w:lang w:eastAsia="en-GB"/>
        </w:rPr>
      </w:pPr>
      <w:r w:rsidRPr="00D21F32">
        <w:rPr>
          <w:rFonts w:ascii="Times New Roman" w:hAnsi="Times New Roman"/>
          <w:lang w:eastAsia="en-GB"/>
        </w:rPr>
        <w:t xml:space="preserve">Let us not forget that our non-proliferation architecture aims first and foremost to make our world a safer place. Dismantling </w:t>
      </w:r>
      <w:proofErr w:type="gramStart"/>
      <w:r w:rsidRPr="00D21F32">
        <w:rPr>
          <w:rFonts w:ascii="Times New Roman" w:hAnsi="Times New Roman"/>
          <w:lang w:eastAsia="en-GB"/>
        </w:rPr>
        <w:t>it,</w:t>
      </w:r>
      <w:proofErr w:type="gramEnd"/>
      <w:r w:rsidRPr="00D21F32">
        <w:rPr>
          <w:rFonts w:ascii="Times New Roman" w:hAnsi="Times New Roman"/>
          <w:lang w:eastAsia="en-GB"/>
        </w:rPr>
        <w:t xml:space="preserve"> makes the world a more dangerous place. It is a risk that none of us can afford.</w:t>
      </w:r>
    </w:p>
    <w:p w14:paraId="5B7C1AC8" w14:textId="77777777" w:rsidR="00D21F32" w:rsidRPr="00D21F32" w:rsidRDefault="00D21F32" w:rsidP="00D21F32">
      <w:pPr>
        <w:keepLines/>
        <w:spacing w:after="240" w:line="360" w:lineRule="auto"/>
        <w:ind w:left="1134" w:right="987"/>
        <w:jc w:val="both"/>
        <w:rPr>
          <w:rFonts w:ascii="Times New Roman" w:hAnsi="Times New Roman"/>
          <w:lang w:eastAsia="en-GB"/>
        </w:rPr>
      </w:pPr>
      <w:r w:rsidRPr="00D21F32">
        <w:rPr>
          <w:rFonts w:ascii="Times New Roman" w:hAnsi="Times New Roman"/>
          <w:lang w:eastAsia="en-GB"/>
        </w:rPr>
        <w:t>So our first duty is to preserve the rules that we have built together, and to work together for their full implementation. First, we must prevent the worst from happening. But we must also prepare the ground for better times to come.</w:t>
      </w:r>
    </w:p>
    <w:p w14:paraId="431C440C" w14:textId="77777777" w:rsidR="00D21F32" w:rsidRPr="00D21F32" w:rsidRDefault="00D21F32" w:rsidP="00D21F32">
      <w:pPr>
        <w:keepLines/>
        <w:spacing w:after="240" w:line="360" w:lineRule="auto"/>
        <w:ind w:left="1134" w:right="987"/>
        <w:jc w:val="both"/>
        <w:rPr>
          <w:rFonts w:ascii="Times New Roman" w:hAnsi="Times New Roman"/>
          <w:lang w:eastAsia="en-GB"/>
        </w:rPr>
      </w:pPr>
      <w:r w:rsidRPr="00D21F32">
        <w:rPr>
          <w:rFonts w:ascii="Times New Roman" w:hAnsi="Times New Roman"/>
          <w:lang w:eastAsia="en-GB"/>
        </w:rPr>
        <w:t>You know that this is for me a life-long commitment. I have been a member of the Group of Eminent Persons for several years now, and you will continue to have my support beyond the end of my current mandate.</w:t>
      </w:r>
    </w:p>
    <w:p w14:paraId="2E6B4E96" w14:textId="77777777" w:rsidR="00D21F32" w:rsidRPr="00D21F32" w:rsidRDefault="00D21F32" w:rsidP="00D21F32">
      <w:pPr>
        <w:keepLines/>
        <w:spacing w:after="240" w:line="360" w:lineRule="auto"/>
        <w:ind w:left="1134" w:right="987"/>
        <w:jc w:val="both"/>
        <w:rPr>
          <w:rFonts w:ascii="Times New Roman" w:hAnsi="Times New Roman"/>
          <w:lang w:eastAsia="en-GB"/>
        </w:rPr>
      </w:pPr>
      <w:r w:rsidRPr="00D21F32">
        <w:rPr>
          <w:rFonts w:ascii="Times New Roman" w:hAnsi="Times New Roman"/>
          <w:lang w:eastAsia="en-GB"/>
        </w:rPr>
        <w:t>So let me thank you for all the good cooperation in these five years of common work, and for that good work that you will continue to do in the years ahead.</w:t>
      </w:r>
    </w:p>
    <w:p w14:paraId="65B29C3E" w14:textId="77777777" w:rsidR="00D21F32" w:rsidRPr="00D21F32" w:rsidRDefault="00D21F32" w:rsidP="00D21F32">
      <w:pPr>
        <w:keepLines/>
        <w:spacing w:after="240" w:line="360" w:lineRule="auto"/>
        <w:ind w:left="1134" w:right="987"/>
        <w:jc w:val="both"/>
        <w:rPr>
          <w:rFonts w:ascii="Times New Roman" w:hAnsi="Times New Roman"/>
          <w:lang w:eastAsia="en-GB"/>
        </w:rPr>
      </w:pPr>
      <w:r w:rsidRPr="00D21F32">
        <w:rPr>
          <w:rFonts w:ascii="Times New Roman" w:hAnsi="Times New Roman"/>
          <w:lang w:eastAsia="en-GB"/>
        </w:rPr>
        <w:t>Thank you.</w:t>
      </w:r>
    </w:p>
    <w:p w14:paraId="2C2B26E1" w14:textId="2427AE15" w:rsidR="00C17439" w:rsidRPr="00DA28F1" w:rsidRDefault="00C17439" w:rsidP="00D21F32">
      <w:pPr>
        <w:jc w:val="both"/>
        <w:rPr>
          <w:rFonts w:ascii="Times New Roman" w:hAnsi="Times New Roman"/>
          <w:lang w:eastAsia="en-GB"/>
        </w:rPr>
      </w:pPr>
    </w:p>
    <w:sectPr w:rsidR="00C17439" w:rsidRPr="00DA28F1" w:rsidSect="00C17439">
      <w:headerReference w:type="even" r:id="rId10"/>
      <w:footerReference w:type="even" r:id="rId11"/>
      <w:footerReference w:type="default" r:id="rId12"/>
      <w:headerReference w:type="first" r:id="rId13"/>
      <w:footerReference w:type="first" r:id="rId14"/>
      <w:pgSz w:w="11900" w:h="16840"/>
      <w:pgMar w:top="1077" w:right="1418" w:bottom="1077"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60512" w14:textId="77777777" w:rsidR="00A97293" w:rsidRDefault="00A97293" w:rsidP="002D06B2">
      <w:r>
        <w:separator/>
      </w:r>
    </w:p>
  </w:endnote>
  <w:endnote w:type="continuationSeparator" w:id="0">
    <w:p w14:paraId="4CADD73C" w14:textId="77777777" w:rsidR="00A97293" w:rsidRDefault="00A97293" w:rsidP="002D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685DA" w14:textId="77777777" w:rsidR="00733CE3" w:rsidRDefault="00733CE3">
    <w:pPr>
      <w:pStyle w:val="Footer"/>
    </w:pPr>
  </w:p>
  <w:p w14:paraId="1BA9F7D4" w14:textId="77777777" w:rsidR="00AA6D9E" w:rsidRDefault="005B663C" w:rsidP="000407CB">
    <w:pPr>
      <w:pStyle w:val="Footer"/>
      <w:jc w:val="center"/>
      <w:rPr>
        <w:rFonts w:ascii="Arial" w:hAnsi="Arial" w:cs="Arial"/>
        <w:b/>
        <w:sz w:val="20"/>
      </w:rPr>
    </w:pPr>
    <w:r w:rsidRPr="000407CB">
      <w:rPr>
        <w:rFonts w:ascii="Arial" w:hAnsi="Arial" w:cs="Arial"/>
        <w:b/>
        <w:sz w:val="20"/>
      </w:rPr>
      <w:t xml:space="preserve"> </w:t>
    </w:r>
  </w:p>
  <w:p w14:paraId="62954EC3" w14:textId="13BF3CC2" w:rsidR="00AA6D9E" w:rsidRPr="000407CB" w:rsidRDefault="005B663C" w:rsidP="000407CB">
    <w:pPr>
      <w:pStyle w:val="Footer"/>
      <w:spacing w:before="120"/>
      <w:jc w:val="right"/>
      <w:rPr>
        <w:rFonts w:ascii="Arial" w:hAnsi="Arial" w:cs="Arial"/>
        <w:sz w:val="12"/>
      </w:rPr>
    </w:pPr>
    <w:r w:rsidRPr="000407CB">
      <w:rPr>
        <w:rFonts w:ascii="Arial" w:hAnsi="Arial" w:cs="Arial"/>
        <w:sz w:val="12"/>
      </w:rPr>
      <w:fldChar w:fldCharType="begin"/>
    </w:r>
    <w:r w:rsidRPr="000407CB">
      <w:rPr>
        <w:rFonts w:ascii="Arial" w:hAnsi="Arial" w:cs="Arial"/>
        <w:sz w:val="12"/>
      </w:rPr>
      <w:instrText xml:space="preserve"> FILENAME \p \* MERGEFORMAT </w:instrText>
    </w:r>
    <w:r w:rsidRPr="000407CB">
      <w:rPr>
        <w:rFonts w:ascii="Arial" w:hAnsi="Arial" w:cs="Arial"/>
        <w:sz w:val="12"/>
      </w:rPr>
      <w:fldChar w:fldCharType="separate"/>
    </w:r>
    <w:r w:rsidR="00162EB3">
      <w:rPr>
        <w:rFonts w:ascii="Arial" w:hAnsi="Arial" w:cs="Arial"/>
        <w:noProof/>
        <w:sz w:val="12"/>
      </w:rPr>
      <w:t>X:\Documents\05. UN\International  Organisations\CTBTO\2019\statements\IdANT 2019 9 Sept NY\EU statement International Day against Nuclear Tests UNGA 2019 v0UK.docx</w:t>
    </w:r>
    <w:r w:rsidRPr="000407CB">
      <w:rPr>
        <w:rFonts w:ascii="Arial" w:hAnsi="Arial" w:cs="Arial"/>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E9102" w14:textId="77777777" w:rsidR="00733CE3" w:rsidRPr="00137DB2" w:rsidRDefault="00733CE3" w:rsidP="00137DB2">
    <w:pPr>
      <w:pStyle w:val="Footer"/>
    </w:pPr>
    <w:r>
      <w:rPr>
        <w:rFonts w:ascii="Arial" w:hAnsi="Arial" w:cs="Arial"/>
        <w:sz w:val="12"/>
      </w:rPr>
      <w:tab/>
    </w:r>
    <w:r>
      <w:rPr>
        <w:rFonts w:ascii="Arial" w:hAnsi="Arial" w:cs="Arial"/>
        <w:sz w:val="12"/>
      </w:rPr>
      <w:tab/>
    </w:r>
    <w:r>
      <w:rPr>
        <w:rFonts w:ascii="Arial" w:hAnsi="Arial" w:cs="Arial"/>
        <w:sz w:val="1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B28C1" w14:textId="77777777" w:rsidR="00733CE3" w:rsidRDefault="00733CE3">
    <w:pPr>
      <w:pStyle w:val="Footer"/>
    </w:pPr>
  </w:p>
  <w:p w14:paraId="1E373514" w14:textId="77777777" w:rsidR="00AA6D9E" w:rsidRDefault="005B663C" w:rsidP="000407CB">
    <w:pPr>
      <w:pStyle w:val="Footer"/>
      <w:jc w:val="center"/>
      <w:rPr>
        <w:rFonts w:ascii="Arial" w:hAnsi="Arial" w:cs="Arial"/>
        <w:b/>
        <w:sz w:val="20"/>
      </w:rPr>
    </w:pPr>
    <w:r w:rsidRPr="000407CB">
      <w:rPr>
        <w:rFonts w:ascii="Arial" w:hAnsi="Arial" w:cs="Arial"/>
        <w:b/>
        <w:sz w:val="20"/>
      </w:rPr>
      <w:t xml:space="preserve"> </w:t>
    </w:r>
  </w:p>
  <w:p w14:paraId="46FC0640" w14:textId="249A3876" w:rsidR="00AA6D9E" w:rsidRPr="000407CB" w:rsidRDefault="005B663C" w:rsidP="000407CB">
    <w:pPr>
      <w:pStyle w:val="Footer"/>
      <w:spacing w:before="120"/>
      <w:jc w:val="right"/>
      <w:rPr>
        <w:rFonts w:ascii="Arial" w:hAnsi="Arial" w:cs="Arial"/>
        <w:sz w:val="12"/>
      </w:rPr>
    </w:pPr>
    <w:r w:rsidRPr="000407CB">
      <w:rPr>
        <w:rFonts w:ascii="Arial" w:hAnsi="Arial" w:cs="Arial"/>
        <w:sz w:val="12"/>
      </w:rPr>
      <w:fldChar w:fldCharType="begin"/>
    </w:r>
    <w:r w:rsidRPr="000407CB">
      <w:rPr>
        <w:rFonts w:ascii="Arial" w:hAnsi="Arial" w:cs="Arial"/>
        <w:sz w:val="12"/>
      </w:rPr>
      <w:instrText xml:space="preserve"> FILENAME \p \* MERGEFORMAT </w:instrText>
    </w:r>
    <w:r w:rsidRPr="000407CB">
      <w:rPr>
        <w:rFonts w:ascii="Arial" w:hAnsi="Arial" w:cs="Arial"/>
        <w:sz w:val="12"/>
      </w:rPr>
      <w:fldChar w:fldCharType="separate"/>
    </w:r>
    <w:r w:rsidR="00162EB3">
      <w:rPr>
        <w:rFonts w:ascii="Arial" w:hAnsi="Arial" w:cs="Arial"/>
        <w:noProof/>
        <w:sz w:val="12"/>
      </w:rPr>
      <w:t>X:\Documents\05. UN\International  Organisations\CTBTO\2019\statements\IdANT 2019 9 Sept NY\EU statement International Day against Nuclear Tests UNGA 2019 v0UK.docx</w:t>
    </w:r>
    <w:r w:rsidRPr="000407CB">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44C90" w14:textId="77777777" w:rsidR="00A97293" w:rsidRDefault="00A97293" w:rsidP="002D06B2">
      <w:r>
        <w:separator/>
      </w:r>
    </w:p>
  </w:footnote>
  <w:footnote w:type="continuationSeparator" w:id="0">
    <w:p w14:paraId="6346B57B" w14:textId="77777777" w:rsidR="00A97293" w:rsidRDefault="00A97293" w:rsidP="002D0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D8A5E" w14:textId="77777777" w:rsidR="00AA6D9E" w:rsidRPr="000407CB" w:rsidRDefault="005B663C" w:rsidP="000407CB">
    <w:pPr>
      <w:pStyle w:val="Header"/>
      <w:jc w:val="center"/>
      <w:rPr>
        <w:rFonts w:ascii="Arial" w:hAnsi="Arial" w:cs="Arial"/>
        <w:b/>
        <w:sz w:val="20"/>
      </w:rPr>
    </w:pPr>
    <w:r w:rsidRPr="000407CB">
      <w:rPr>
        <w:rFonts w:ascii="Arial" w:hAnsi="Arial" w:cs="Arial"/>
        <w:b/>
        <w:sz w:val="20"/>
      </w:rPr>
      <w:t xml:space="preserve"> </w:t>
    </w:r>
  </w:p>
  <w:p w14:paraId="7912040C" w14:textId="77777777" w:rsidR="00733CE3" w:rsidRDefault="00733C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D44E2" w14:textId="77777777" w:rsidR="00AA6D9E" w:rsidRPr="000407CB" w:rsidRDefault="005B663C" w:rsidP="000407CB">
    <w:pPr>
      <w:pStyle w:val="Header"/>
      <w:jc w:val="center"/>
      <w:rPr>
        <w:rFonts w:ascii="Arial" w:hAnsi="Arial" w:cs="Arial"/>
        <w:b/>
        <w:sz w:val="20"/>
      </w:rPr>
    </w:pPr>
    <w:r w:rsidRPr="000407CB">
      <w:rPr>
        <w:rFonts w:ascii="Arial" w:hAnsi="Arial" w:cs="Arial"/>
        <w:b/>
        <w:sz w:val="20"/>
      </w:rPr>
      <w:t xml:space="preserve"> </w:t>
    </w:r>
  </w:p>
  <w:p w14:paraId="22584A9A" w14:textId="77777777" w:rsidR="00733CE3" w:rsidRDefault="00733C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5EA"/>
    <w:multiLevelType w:val="hybridMultilevel"/>
    <w:tmpl w:val="321CD8E2"/>
    <w:lvl w:ilvl="0" w:tplc="FF841908">
      <w:start w:val="1"/>
      <w:numFmt w:val="decimal"/>
      <w:lvlText w:val="%1."/>
      <w:lvlJc w:val="left"/>
      <w:pPr>
        <w:ind w:left="502"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ianna Vlachopoulou">
    <w15:presenceInfo w15:providerId="None" w15:userId="Irianna Vlachopoul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2D06B2"/>
    <w:rsid w:val="00000134"/>
    <w:rsid w:val="000003AC"/>
    <w:rsid w:val="000075DC"/>
    <w:rsid w:val="00017830"/>
    <w:rsid w:val="00026DFC"/>
    <w:rsid w:val="00031EA8"/>
    <w:rsid w:val="000407CB"/>
    <w:rsid w:val="00056331"/>
    <w:rsid w:val="0007609A"/>
    <w:rsid w:val="000762A7"/>
    <w:rsid w:val="00085969"/>
    <w:rsid w:val="00095164"/>
    <w:rsid w:val="000A7513"/>
    <w:rsid w:val="000B2A8C"/>
    <w:rsid w:val="000C74D7"/>
    <w:rsid w:val="000D6447"/>
    <w:rsid w:val="000F0E29"/>
    <w:rsid w:val="00100245"/>
    <w:rsid w:val="0010593C"/>
    <w:rsid w:val="001138A6"/>
    <w:rsid w:val="00134DFA"/>
    <w:rsid w:val="001364A2"/>
    <w:rsid w:val="00137DB2"/>
    <w:rsid w:val="00162EB3"/>
    <w:rsid w:val="00163043"/>
    <w:rsid w:val="00176809"/>
    <w:rsid w:val="001D55BB"/>
    <w:rsid w:val="001E2164"/>
    <w:rsid w:val="001F061E"/>
    <w:rsid w:val="00210DAB"/>
    <w:rsid w:val="00213212"/>
    <w:rsid w:val="00222040"/>
    <w:rsid w:val="00227696"/>
    <w:rsid w:val="002307E6"/>
    <w:rsid w:val="00260E8D"/>
    <w:rsid w:val="00281BA4"/>
    <w:rsid w:val="002B0FA4"/>
    <w:rsid w:val="002C1F6C"/>
    <w:rsid w:val="002D06B2"/>
    <w:rsid w:val="002E3BBD"/>
    <w:rsid w:val="00321DE4"/>
    <w:rsid w:val="00335F99"/>
    <w:rsid w:val="00337BEE"/>
    <w:rsid w:val="003443A8"/>
    <w:rsid w:val="00360B99"/>
    <w:rsid w:val="003C581E"/>
    <w:rsid w:val="00417180"/>
    <w:rsid w:val="00417D8E"/>
    <w:rsid w:val="00423D42"/>
    <w:rsid w:val="00472882"/>
    <w:rsid w:val="004A2590"/>
    <w:rsid w:val="004C7813"/>
    <w:rsid w:val="004D222C"/>
    <w:rsid w:val="004D7CEA"/>
    <w:rsid w:val="004F0B32"/>
    <w:rsid w:val="00512686"/>
    <w:rsid w:val="0053348F"/>
    <w:rsid w:val="00533A1B"/>
    <w:rsid w:val="0055402C"/>
    <w:rsid w:val="00586673"/>
    <w:rsid w:val="005B663C"/>
    <w:rsid w:val="005F32A3"/>
    <w:rsid w:val="00607D67"/>
    <w:rsid w:val="00613E59"/>
    <w:rsid w:val="006E0C26"/>
    <w:rsid w:val="00700657"/>
    <w:rsid w:val="00732A33"/>
    <w:rsid w:val="00733CE3"/>
    <w:rsid w:val="00737ED2"/>
    <w:rsid w:val="007640DA"/>
    <w:rsid w:val="00775585"/>
    <w:rsid w:val="00780359"/>
    <w:rsid w:val="00786EFE"/>
    <w:rsid w:val="007A1B4A"/>
    <w:rsid w:val="007A2605"/>
    <w:rsid w:val="007A3E4E"/>
    <w:rsid w:val="00800178"/>
    <w:rsid w:val="00894BCB"/>
    <w:rsid w:val="008C1E2A"/>
    <w:rsid w:val="00902CA6"/>
    <w:rsid w:val="00922502"/>
    <w:rsid w:val="009405DA"/>
    <w:rsid w:val="009426E8"/>
    <w:rsid w:val="009475DE"/>
    <w:rsid w:val="00947BF9"/>
    <w:rsid w:val="00973D6E"/>
    <w:rsid w:val="009A0BB8"/>
    <w:rsid w:val="009D04D2"/>
    <w:rsid w:val="009D260C"/>
    <w:rsid w:val="009E44CD"/>
    <w:rsid w:val="009F5C73"/>
    <w:rsid w:val="00A01A02"/>
    <w:rsid w:val="00A24222"/>
    <w:rsid w:val="00A52B5A"/>
    <w:rsid w:val="00A93B21"/>
    <w:rsid w:val="00A97293"/>
    <w:rsid w:val="00AA1A60"/>
    <w:rsid w:val="00AA6D9E"/>
    <w:rsid w:val="00AA713C"/>
    <w:rsid w:val="00AC6DB0"/>
    <w:rsid w:val="00AC79C9"/>
    <w:rsid w:val="00AE6D40"/>
    <w:rsid w:val="00AF4287"/>
    <w:rsid w:val="00B07256"/>
    <w:rsid w:val="00B17662"/>
    <w:rsid w:val="00B24907"/>
    <w:rsid w:val="00B30F8E"/>
    <w:rsid w:val="00B545A7"/>
    <w:rsid w:val="00B7706A"/>
    <w:rsid w:val="00B84C5D"/>
    <w:rsid w:val="00BB0E73"/>
    <w:rsid w:val="00BC2A27"/>
    <w:rsid w:val="00BC493D"/>
    <w:rsid w:val="00BE4D6E"/>
    <w:rsid w:val="00C17439"/>
    <w:rsid w:val="00C22DEA"/>
    <w:rsid w:val="00C261A6"/>
    <w:rsid w:val="00C43C61"/>
    <w:rsid w:val="00C722F1"/>
    <w:rsid w:val="00CB5614"/>
    <w:rsid w:val="00D20FC5"/>
    <w:rsid w:val="00D21F32"/>
    <w:rsid w:val="00D335E5"/>
    <w:rsid w:val="00D42132"/>
    <w:rsid w:val="00D63D85"/>
    <w:rsid w:val="00D6581E"/>
    <w:rsid w:val="00D766D1"/>
    <w:rsid w:val="00D77C6A"/>
    <w:rsid w:val="00D91A03"/>
    <w:rsid w:val="00DA28F1"/>
    <w:rsid w:val="00DA5560"/>
    <w:rsid w:val="00DB106C"/>
    <w:rsid w:val="00DB3FCF"/>
    <w:rsid w:val="00DC1B5F"/>
    <w:rsid w:val="00DD2EAA"/>
    <w:rsid w:val="00E0752B"/>
    <w:rsid w:val="00E251B8"/>
    <w:rsid w:val="00E30E2B"/>
    <w:rsid w:val="00E40E35"/>
    <w:rsid w:val="00E54F09"/>
    <w:rsid w:val="00E71220"/>
    <w:rsid w:val="00E80374"/>
    <w:rsid w:val="00E86325"/>
    <w:rsid w:val="00E96390"/>
    <w:rsid w:val="00ED2939"/>
    <w:rsid w:val="00EE791A"/>
    <w:rsid w:val="00F46116"/>
    <w:rsid w:val="00F637C7"/>
    <w:rsid w:val="00F732D1"/>
    <w:rsid w:val="00F940B7"/>
    <w:rsid w:val="00F96C82"/>
    <w:rsid w:val="00FF7A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07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6B2"/>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D06B2"/>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semiHidden/>
    <w:rsid w:val="002D06B2"/>
    <w:rPr>
      <w:rFonts w:ascii="Times New Roman" w:eastAsia="MS Mincho" w:hAnsi="Times New Roman" w:cs="Times New Roman"/>
      <w:sz w:val="20"/>
      <w:szCs w:val="20"/>
      <w:lang w:eastAsia="ja-JP"/>
    </w:rPr>
  </w:style>
  <w:style w:type="character" w:styleId="FootnoteReference">
    <w:name w:val="footnote reference"/>
    <w:uiPriority w:val="99"/>
    <w:semiHidden/>
    <w:rsid w:val="002D06B2"/>
    <w:rPr>
      <w:vertAlign w:val="superscript"/>
    </w:rPr>
  </w:style>
  <w:style w:type="paragraph" w:styleId="BalloonText">
    <w:name w:val="Balloon Text"/>
    <w:basedOn w:val="Normal"/>
    <w:link w:val="BalloonTextChar"/>
    <w:uiPriority w:val="99"/>
    <w:semiHidden/>
    <w:unhideWhenUsed/>
    <w:rsid w:val="00D42132"/>
    <w:rPr>
      <w:rFonts w:ascii="Tahoma" w:hAnsi="Tahoma" w:cs="Tahoma"/>
      <w:sz w:val="16"/>
      <w:szCs w:val="16"/>
    </w:rPr>
  </w:style>
  <w:style w:type="character" w:customStyle="1" w:styleId="BalloonTextChar">
    <w:name w:val="Balloon Text Char"/>
    <w:basedOn w:val="DefaultParagraphFont"/>
    <w:link w:val="BalloonText"/>
    <w:uiPriority w:val="99"/>
    <w:semiHidden/>
    <w:rsid w:val="00D42132"/>
    <w:rPr>
      <w:rFonts w:ascii="Tahoma" w:eastAsia="Cambria" w:hAnsi="Tahoma" w:cs="Tahoma"/>
      <w:sz w:val="16"/>
      <w:szCs w:val="16"/>
    </w:rPr>
  </w:style>
  <w:style w:type="paragraph" w:styleId="ListParagraph">
    <w:name w:val="List Paragraph"/>
    <w:basedOn w:val="Normal"/>
    <w:uiPriority w:val="34"/>
    <w:qFormat/>
    <w:rsid w:val="00417D8E"/>
    <w:pPr>
      <w:ind w:left="720"/>
      <w:contextualSpacing/>
    </w:pPr>
  </w:style>
  <w:style w:type="character" w:styleId="CommentReference">
    <w:name w:val="annotation reference"/>
    <w:basedOn w:val="DefaultParagraphFont"/>
    <w:unhideWhenUsed/>
    <w:rsid w:val="002E3BBD"/>
    <w:rPr>
      <w:sz w:val="16"/>
      <w:szCs w:val="16"/>
    </w:rPr>
  </w:style>
  <w:style w:type="paragraph" w:styleId="CommentText">
    <w:name w:val="annotation text"/>
    <w:basedOn w:val="Normal"/>
    <w:link w:val="CommentTextChar"/>
    <w:unhideWhenUsed/>
    <w:rsid w:val="002E3BBD"/>
    <w:rPr>
      <w:sz w:val="20"/>
      <w:szCs w:val="20"/>
    </w:rPr>
  </w:style>
  <w:style w:type="character" w:customStyle="1" w:styleId="CommentTextChar">
    <w:name w:val="Comment Text Char"/>
    <w:basedOn w:val="DefaultParagraphFont"/>
    <w:link w:val="CommentText"/>
    <w:rsid w:val="002E3BB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2E3BBD"/>
    <w:rPr>
      <w:b/>
      <w:bCs/>
    </w:rPr>
  </w:style>
  <w:style w:type="character" w:customStyle="1" w:styleId="CommentSubjectChar">
    <w:name w:val="Comment Subject Char"/>
    <w:basedOn w:val="CommentTextChar"/>
    <w:link w:val="CommentSubject"/>
    <w:uiPriority w:val="99"/>
    <w:semiHidden/>
    <w:rsid w:val="002E3BBD"/>
    <w:rPr>
      <w:rFonts w:ascii="Cambria" w:eastAsia="Cambria" w:hAnsi="Cambria" w:cs="Times New Roman"/>
      <w:b/>
      <w:bCs/>
      <w:sz w:val="20"/>
      <w:szCs w:val="20"/>
    </w:rPr>
  </w:style>
  <w:style w:type="paragraph" w:styleId="Header">
    <w:name w:val="header"/>
    <w:basedOn w:val="Normal"/>
    <w:link w:val="HeaderChar"/>
    <w:uiPriority w:val="99"/>
    <w:unhideWhenUsed/>
    <w:rsid w:val="007A1B4A"/>
    <w:pPr>
      <w:tabs>
        <w:tab w:val="center" w:pos="4513"/>
        <w:tab w:val="right" w:pos="9026"/>
      </w:tabs>
    </w:pPr>
  </w:style>
  <w:style w:type="character" w:customStyle="1" w:styleId="HeaderChar">
    <w:name w:val="Header Char"/>
    <w:basedOn w:val="DefaultParagraphFont"/>
    <w:link w:val="Header"/>
    <w:uiPriority w:val="99"/>
    <w:rsid w:val="007A1B4A"/>
    <w:rPr>
      <w:rFonts w:ascii="Cambria" w:eastAsia="Cambria" w:hAnsi="Cambria" w:cs="Times New Roman"/>
      <w:sz w:val="24"/>
      <w:szCs w:val="24"/>
    </w:rPr>
  </w:style>
  <w:style w:type="paragraph" w:styleId="Footer">
    <w:name w:val="footer"/>
    <w:basedOn w:val="Normal"/>
    <w:link w:val="FooterChar"/>
    <w:uiPriority w:val="99"/>
    <w:semiHidden/>
    <w:unhideWhenUsed/>
    <w:rsid w:val="007A1B4A"/>
    <w:pPr>
      <w:tabs>
        <w:tab w:val="center" w:pos="4513"/>
        <w:tab w:val="right" w:pos="9026"/>
      </w:tabs>
    </w:pPr>
  </w:style>
  <w:style w:type="character" w:customStyle="1" w:styleId="FooterChar">
    <w:name w:val="Footer Char"/>
    <w:basedOn w:val="DefaultParagraphFont"/>
    <w:link w:val="Footer"/>
    <w:uiPriority w:val="99"/>
    <w:semiHidden/>
    <w:rsid w:val="007A1B4A"/>
    <w:rPr>
      <w:rFonts w:ascii="Cambria" w:eastAsia="Cambria" w:hAnsi="Cambria" w:cs="Times New Roman"/>
      <w:sz w:val="24"/>
      <w:szCs w:val="24"/>
    </w:rPr>
  </w:style>
  <w:style w:type="character" w:styleId="Emphasis">
    <w:name w:val="Emphasis"/>
    <w:basedOn w:val="DefaultParagraphFont"/>
    <w:uiPriority w:val="20"/>
    <w:qFormat/>
    <w:rsid w:val="007640DA"/>
    <w:rPr>
      <w:i/>
      <w:iCs/>
    </w:rPr>
  </w:style>
  <w:style w:type="paragraph" w:styleId="NoSpacing">
    <w:name w:val="No Spacing"/>
    <w:uiPriority w:val="99"/>
    <w:qFormat/>
    <w:rsid w:val="00E96390"/>
    <w:pPr>
      <w:autoSpaceDN w:val="0"/>
      <w:spacing w:after="0" w:line="240" w:lineRule="auto"/>
    </w:pPr>
    <w:rPr>
      <w:rFonts w:ascii="Calibri" w:eastAsia="Times New Roman" w:hAnsi="Calibri" w:cs="Times New Roman"/>
      <w:lang w:val="hu-HU" w:eastAsia="hu-HU"/>
    </w:rPr>
  </w:style>
  <w:style w:type="paragraph" w:customStyle="1" w:styleId="Char">
    <w:name w:val=" Char"/>
    <w:basedOn w:val="Normal"/>
    <w:next w:val="Normal"/>
    <w:rsid w:val="00D21F32"/>
    <w:pPr>
      <w:spacing w:after="160" w:line="240" w:lineRule="exact"/>
    </w:pPr>
    <w:rPr>
      <w:rFonts w:ascii="Tahoma" w:eastAsia="Times New Roman" w:hAnsi="Tahoma"/>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6B2"/>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D06B2"/>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semiHidden/>
    <w:rsid w:val="002D06B2"/>
    <w:rPr>
      <w:rFonts w:ascii="Times New Roman" w:eastAsia="MS Mincho" w:hAnsi="Times New Roman" w:cs="Times New Roman"/>
      <w:sz w:val="20"/>
      <w:szCs w:val="20"/>
      <w:lang w:eastAsia="ja-JP"/>
    </w:rPr>
  </w:style>
  <w:style w:type="character" w:styleId="FootnoteReference">
    <w:name w:val="footnote reference"/>
    <w:uiPriority w:val="99"/>
    <w:semiHidden/>
    <w:rsid w:val="002D06B2"/>
    <w:rPr>
      <w:vertAlign w:val="superscript"/>
    </w:rPr>
  </w:style>
  <w:style w:type="paragraph" w:styleId="BalloonText">
    <w:name w:val="Balloon Text"/>
    <w:basedOn w:val="Normal"/>
    <w:link w:val="BalloonTextChar"/>
    <w:uiPriority w:val="99"/>
    <w:semiHidden/>
    <w:unhideWhenUsed/>
    <w:rsid w:val="00D42132"/>
    <w:rPr>
      <w:rFonts w:ascii="Tahoma" w:hAnsi="Tahoma" w:cs="Tahoma"/>
      <w:sz w:val="16"/>
      <w:szCs w:val="16"/>
    </w:rPr>
  </w:style>
  <w:style w:type="character" w:customStyle="1" w:styleId="BalloonTextChar">
    <w:name w:val="Balloon Text Char"/>
    <w:basedOn w:val="DefaultParagraphFont"/>
    <w:link w:val="BalloonText"/>
    <w:uiPriority w:val="99"/>
    <w:semiHidden/>
    <w:rsid w:val="00D42132"/>
    <w:rPr>
      <w:rFonts w:ascii="Tahoma" w:eastAsia="Cambria" w:hAnsi="Tahoma" w:cs="Tahoma"/>
      <w:sz w:val="16"/>
      <w:szCs w:val="16"/>
    </w:rPr>
  </w:style>
  <w:style w:type="paragraph" w:styleId="ListParagraph">
    <w:name w:val="List Paragraph"/>
    <w:basedOn w:val="Normal"/>
    <w:uiPriority w:val="34"/>
    <w:qFormat/>
    <w:rsid w:val="00417D8E"/>
    <w:pPr>
      <w:ind w:left="720"/>
      <w:contextualSpacing/>
    </w:pPr>
  </w:style>
  <w:style w:type="character" w:styleId="CommentReference">
    <w:name w:val="annotation reference"/>
    <w:basedOn w:val="DefaultParagraphFont"/>
    <w:unhideWhenUsed/>
    <w:rsid w:val="002E3BBD"/>
    <w:rPr>
      <w:sz w:val="16"/>
      <w:szCs w:val="16"/>
    </w:rPr>
  </w:style>
  <w:style w:type="paragraph" w:styleId="CommentText">
    <w:name w:val="annotation text"/>
    <w:basedOn w:val="Normal"/>
    <w:link w:val="CommentTextChar"/>
    <w:unhideWhenUsed/>
    <w:rsid w:val="002E3BBD"/>
    <w:rPr>
      <w:sz w:val="20"/>
      <w:szCs w:val="20"/>
    </w:rPr>
  </w:style>
  <w:style w:type="character" w:customStyle="1" w:styleId="CommentTextChar">
    <w:name w:val="Comment Text Char"/>
    <w:basedOn w:val="DefaultParagraphFont"/>
    <w:link w:val="CommentText"/>
    <w:rsid w:val="002E3BB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2E3BBD"/>
    <w:rPr>
      <w:b/>
      <w:bCs/>
    </w:rPr>
  </w:style>
  <w:style w:type="character" w:customStyle="1" w:styleId="CommentSubjectChar">
    <w:name w:val="Comment Subject Char"/>
    <w:basedOn w:val="CommentTextChar"/>
    <w:link w:val="CommentSubject"/>
    <w:uiPriority w:val="99"/>
    <w:semiHidden/>
    <w:rsid w:val="002E3BBD"/>
    <w:rPr>
      <w:rFonts w:ascii="Cambria" w:eastAsia="Cambria" w:hAnsi="Cambria" w:cs="Times New Roman"/>
      <w:b/>
      <w:bCs/>
      <w:sz w:val="20"/>
      <w:szCs w:val="20"/>
    </w:rPr>
  </w:style>
  <w:style w:type="paragraph" w:styleId="Header">
    <w:name w:val="header"/>
    <w:basedOn w:val="Normal"/>
    <w:link w:val="HeaderChar"/>
    <w:uiPriority w:val="99"/>
    <w:unhideWhenUsed/>
    <w:rsid w:val="007A1B4A"/>
    <w:pPr>
      <w:tabs>
        <w:tab w:val="center" w:pos="4513"/>
        <w:tab w:val="right" w:pos="9026"/>
      </w:tabs>
    </w:pPr>
  </w:style>
  <w:style w:type="character" w:customStyle="1" w:styleId="HeaderChar">
    <w:name w:val="Header Char"/>
    <w:basedOn w:val="DefaultParagraphFont"/>
    <w:link w:val="Header"/>
    <w:uiPriority w:val="99"/>
    <w:rsid w:val="007A1B4A"/>
    <w:rPr>
      <w:rFonts w:ascii="Cambria" w:eastAsia="Cambria" w:hAnsi="Cambria" w:cs="Times New Roman"/>
      <w:sz w:val="24"/>
      <w:szCs w:val="24"/>
    </w:rPr>
  </w:style>
  <w:style w:type="paragraph" w:styleId="Footer">
    <w:name w:val="footer"/>
    <w:basedOn w:val="Normal"/>
    <w:link w:val="FooterChar"/>
    <w:uiPriority w:val="99"/>
    <w:semiHidden/>
    <w:unhideWhenUsed/>
    <w:rsid w:val="007A1B4A"/>
    <w:pPr>
      <w:tabs>
        <w:tab w:val="center" w:pos="4513"/>
        <w:tab w:val="right" w:pos="9026"/>
      </w:tabs>
    </w:pPr>
  </w:style>
  <w:style w:type="character" w:customStyle="1" w:styleId="FooterChar">
    <w:name w:val="Footer Char"/>
    <w:basedOn w:val="DefaultParagraphFont"/>
    <w:link w:val="Footer"/>
    <w:uiPriority w:val="99"/>
    <w:semiHidden/>
    <w:rsid w:val="007A1B4A"/>
    <w:rPr>
      <w:rFonts w:ascii="Cambria" w:eastAsia="Cambria" w:hAnsi="Cambria" w:cs="Times New Roman"/>
      <w:sz w:val="24"/>
      <w:szCs w:val="24"/>
    </w:rPr>
  </w:style>
  <w:style w:type="character" w:styleId="Emphasis">
    <w:name w:val="Emphasis"/>
    <w:basedOn w:val="DefaultParagraphFont"/>
    <w:uiPriority w:val="20"/>
    <w:qFormat/>
    <w:rsid w:val="007640DA"/>
    <w:rPr>
      <w:i/>
      <w:iCs/>
    </w:rPr>
  </w:style>
  <w:style w:type="paragraph" w:styleId="NoSpacing">
    <w:name w:val="No Spacing"/>
    <w:uiPriority w:val="99"/>
    <w:qFormat/>
    <w:rsid w:val="00E96390"/>
    <w:pPr>
      <w:autoSpaceDN w:val="0"/>
      <w:spacing w:after="0" w:line="240" w:lineRule="auto"/>
    </w:pPr>
    <w:rPr>
      <w:rFonts w:ascii="Calibri" w:eastAsia="Times New Roman" w:hAnsi="Calibri" w:cs="Times New Roman"/>
      <w:lang w:val="hu-HU" w:eastAsia="hu-HU"/>
    </w:rPr>
  </w:style>
  <w:style w:type="paragraph" w:customStyle="1" w:styleId="Char">
    <w:name w:val=" Char"/>
    <w:basedOn w:val="Normal"/>
    <w:next w:val="Normal"/>
    <w:rsid w:val="00D21F32"/>
    <w:pPr>
      <w:spacing w:after="160" w:line="240" w:lineRule="exact"/>
    </w:pPr>
    <w:rPr>
      <w:rFonts w:ascii="Tahoma" w:eastAsia="Times New Roman" w:hAnsi="Tahoma"/>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6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901</Words>
  <Characters>5208</Characters>
  <Application>Microsoft Office Word</Application>
  <DocSecurity>0</DocSecurity>
  <Lines>140</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EU international day statement NL comments</vt:lpstr>
      <vt:lpstr/>
    </vt:vector>
  </TitlesOfParts>
  <Company>European Commission</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international day statement NL comments</dc:title>
  <dc:creator>JUHASZ Attila (EEAS-VIENNA)</dc:creator>
  <cp:lastModifiedBy>HALLIN Rebecca (EEAS-NEW YORK-EXT)</cp:lastModifiedBy>
  <cp:revision>4</cp:revision>
  <cp:lastPrinted>2019-08-19T06:15:00Z</cp:lastPrinted>
  <dcterms:created xsi:type="dcterms:W3CDTF">2019-09-19T18:30:00Z</dcterms:created>
  <dcterms:modified xsi:type="dcterms:W3CDTF">2019-09-26T00:30:00Z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OFFICIAL</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2017-08-16T22:00:00Z</vt:filetime>
  </property>
</Properties>
</file>